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FA" w:rsidRDefault="007C58AE" w:rsidP="00A143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58AE">
        <w:rPr>
          <w:rFonts w:ascii="Times New Roman" w:hAnsi="Times New Roman" w:cs="Times New Roman"/>
          <w:b/>
          <w:sz w:val="24"/>
          <w:szCs w:val="24"/>
          <w:highlight w:val="yellow"/>
        </w:rPr>
        <w:t>PROJECT</w:t>
      </w:r>
      <w:r w:rsidR="002F3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EA9" w:rsidRPr="002F3E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(Sample based on program to establish political think-tanks in countries with closed political systems) </w:t>
      </w:r>
    </w:p>
    <w:p w:rsidR="00DD1475" w:rsidRDefault="00DD1475" w:rsidP="00A143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475">
        <w:rPr>
          <w:rFonts w:ascii="Times New Roman" w:hAnsi="Times New Roman" w:cs="Times New Roman"/>
          <w:b/>
          <w:sz w:val="24"/>
          <w:szCs w:val="24"/>
        </w:rPr>
        <w:t>Risk Analysis</w:t>
      </w:r>
    </w:p>
    <w:p w:rsidR="00C67B44" w:rsidRPr="000570DB" w:rsidRDefault="00C67B44" w:rsidP="00A143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81"/>
        <w:gridCol w:w="2732"/>
        <w:gridCol w:w="805"/>
        <w:gridCol w:w="1847"/>
        <w:gridCol w:w="6485"/>
      </w:tblGrid>
      <w:tr w:rsidR="008A153D" w:rsidRPr="007642C8" w:rsidTr="0049608B">
        <w:trPr>
          <w:tblHeader/>
        </w:trPr>
        <w:tc>
          <w:tcPr>
            <w:tcW w:w="417" w:type="pct"/>
            <w:shd w:val="clear" w:color="auto" w:fill="B8CCE4" w:themeFill="accent1" w:themeFillTint="66"/>
          </w:tcPr>
          <w:p w:rsidR="00DD1475" w:rsidRPr="007642C8" w:rsidRDefault="00DD1475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  <w:shd w:val="clear" w:color="auto" w:fill="B8CCE4" w:themeFill="accent1" w:themeFillTint="66"/>
          </w:tcPr>
          <w:p w:rsidR="00DD1475" w:rsidRPr="007642C8" w:rsidRDefault="00DD1475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642C8">
              <w:rPr>
                <w:rFonts w:ascii="Times New Roman" w:hAnsi="Times New Roman" w:cs="Times New Roman"/>
              </w:rPr>
              <w:t>Description of Risk</w:t>
            </w:r>
          </w:p>
        </w:tc>
        <w:tc>
          <w:tcPr>
            <w:tcW w:w="311" w:type="pct"/>
            <w:shd w:val="clear" w:color="auto" w:fill="B8CCE4" w:themeFill="accent1" w:themeFillTint="66"/>
          </w:tcPr>
          <w:p w:rsidR="00DD1475" w:rsidRPr="007642C8" w:rsidRDefault="00DD1475" w:rsidP="0049608B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642C8">
              <w:rPr>
                <w:rFonts w:ascii="Times New Roman" w:hAnsi="Times New Roman" w:cs="Times New Roman"/>
              </w:rPr>
              <w:t xml:space="preserve">Likelihood </w:t>
            </w:r>
          </w:p>
        </w:tc>
        <w:tc>
          <w:tcPr>
            <w:tcW w:w="713" w:type="pct"/>
            <w:shd w:val="clear" w:color="auto" w:fill="B8CCE4" w:themeFill="accent1" w:themeFillTint="66"/>
          </w:tcPr>
          <w:p w:rsidR="00DD1475" w:rsidRPr="007642C8" w:rsidRDefault="00DD1475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642C8">
              <w:rPr>
                <w:rFonts w:ascii="Times New Roman" w:hAnsi="Times New Roman" w:cs="Times New Roman"/>
              </w:rPr>
              <w:t>Potential Impact of Risk</w:t>
            </w:r>
          </w:p>
        </w:tc>
        <w:tc>
          <w:tcPr>
            <w:tcW w:w="2504" w:type="pct"/>
            <w:shd w:val="clear" w:color="auto" w:fill="B8CCE4" w:themeFill="accent1" w:themeFillTint="66"/>
          </w:tcPr>
          <w:p w:rsidR="00DD1475" w:rsidRPr="007642C8" w:rsidRDefault="00DD1475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642C8">
              <w:rPr>
                <w:rFonts w:ascii="Times New Roman" w:hAnsi="Times New Roman" w:cs="Times New Roman"/>
              </w:rPr>
              <w:t>Risk Mitigation Plan</w:t>
            </w:r>
          </w:p>
        </w:tc>
      </w:tr>
      <w:tr w:rsidR="00007548" w:rsidRPr="007642C8" w:rsidTr="0049608B">
        <w:trPr>
          <w:trHeight w:val="3887"/>
        </w:trPr>
        <w:tc>
          <w:tcPr>
            <w:tcW w:w="417" w:type="pct"/>
            <w:vMerge w:val="restart"/>
          </w:tcPr>
          <w:p w:rsidR="00007548" w:rsidRDefault="00007548" w:rsidP="003F6BC0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Program</w:t>
            </w:r>
          </w:p>
          <w:p w:rsidR="00007548" w:rsidRPr="00C65F87" w:rsidRDefault="00007548" w:rsidP="003F6BC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Risks</w:t>
            </w:r>
          </w:p>
        </w:tc>
        <w:tc>
          <w:tcPr>
            <w:tcW w:w="1055" w:type="pct"/>
          </w:tcPr>
          <w:p w:rsidR="00007548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D34CFE">
              <w:rPr>
                <w:rFonts w:ascii="Times New Roman" w:hAnsi="Times New Roman" w:cs="Times New Roman"/>
              </w:rPr>
              <w:t xml:space="preserve">Civil society </w:t>
            </w:r>
            <w:r>
              <w:rPr>
                <w:rFonts w:ascii="Times New Roman" w:hAnsi="Times New Roman" w:cs="Times New Roman"/>
              </w:rPr>
              <w:t>partners experience</w:t>
            </w:r>
            <w:r w:rsidRPr="00D34CFE">
              <w:rPr>
                <w:rFonts w:ascii="Times New Roman" w:hAnsi="Times New Roman" w:cs="Times New Roman"/>
              </w:rPr>
              <w:t xml:space="preserve"> an increasingly res</w:t>
            </w:r>
            <w:r>
              <w:rPr>
                <w:rFonts w:ascii="Times New Roman" w:hAnsi="Times New Roman" w:cs="Times New Roman"/>
              </w:rPr>
              <w:t>trictive operating environment:</w:t>
            </w:r>
          </w:p>
          <w:p w:rsidR="00602A6F" w:rsidRDefault="00007548" w:rsidP="00602A6F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158" w:hanging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Members of think tanks and CSOs are monitored </w:t>
            </w:r>
            <w:r w:rsidRPr="00007548">
              <w:rPr>
                <w:rFonts w:ascii="Times New Roman" w:hAnsi="Times New Roman" w:cs="Times New Roman"/>
              </w:rPr>
              <w:t>or harassed</w:t>
            </w:r>
            <w:r w:rsidR="00675220">
              <w:rPr>
                <w:rFonts w:ascii="Times New Roman" w:hAnsi="Times New Roman" w:cs="Times New Roman"/>
              </w:rPr>
              <w:t>.</w:t>
            </w:r>
          </w:p>
          <w:p w:rsidR="00602A6F" w:rsidRDefault="00007548" w:rsidP="00602A6F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158" w:hanging="158"/>
              <w:rPr>
                <w:rFonts w:ascii="Times New Roman" w:hAnsi="Times New Roman" w:cs="Times New Roman"/>
              </w:rPr>
            </w:pPr>
            <w:r w:rsidRPr="00602A6F">
              <w:rPr>
                <w:rFonts w:ascii="Times New Roman" w:hAnsi="Times New Roman" w:cs="Times New Roman"/>
              </w:rPr>
              <w:t xml:space="preserve">Think tanks are pressured to stop working in </w:t>
            </w:r>
            <w:r w:rsidR="00E95E35" w:rsidRPr="007C58AE">
              <w:rPr>
                <w:rFonts w:ascii="Times New Roman" w:hAnsi="Times New Roman" w:cs="Times New Roman"/>
                <w:highlight w:val="yellow"/>
              </w:rPr>
              <w:t>COUNTRY</w:t>
            </w:r>
            <w:r w:rsidR="00675220">
              <w:rPr>
                <w:rFonts w:ascii="Times New Roman" w:hAnsi="Times New Roman" w:cs="Times New Roman"/>
              </w:rPr>
              <w:t>.</w:t>
            </w:r>
          </w:p>
          <w:p w:rsidR="00007548" w:rsidRPr="00602A6F" w:rsidRDefault="00602A6F" w:rsidP="00602A6F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158" w:hanging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CSOs are pressured to </w:t>
            </w:r>
            <w:r w:rsidR="00007548" w:rsidRPr="00602A6F">
              <w:rPr>
                <w:rFonts w:ascii="Times New Roman" w:hAnsi="Times New Roman" w:cs="Times New Roman"/>
              </w:rPr>
              <w:t>stop advocacy initiatives</w:t>
            </w:r>
            <w:r w:rsidR="00675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" w:type="pct"/>
          </w:tcPr>
          <w:p w:rsidR="00007548" w:rsidRPr="00C65F87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Med-</w:t>
            </w:r>
            <w:r w:rsidRPr="00D34CFE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713" w:type="pct"/>
          </w:tcPr>
          <w:p w:rsidR="00007548" w:rsidRDefault="00007548" w:rsidP="008A153D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62" w:hanging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partners experience physical or digital threats</w:t>
            </w:r>
            <w:r w:rsidR="006752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7548" w:rsidRDefault="00007548" w:rsidP="008A153D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62" w:hanging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Disruption of think tank research</w:t>
            </w:r>
            <w:r w:rsidR="00675220">
              <w:rPr>
                <w:rFonts w:ascii="Times New Roman" w:hAnsi="Times New Roman" w:cs="Times New Roman"/>
              </w:rPr>
              <w:t>.</w:t>
            </w:r>
          </w:p>
          <w:p w:rsidR="00007548" w:rsidRPr="00C65F87" w:rsidRDefault="00007548" w:rsidP="008A153D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62" w:hanging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Disruption of advocacy campaigns</w:t>
            </w:r>
            <w:r w:rsidR="00675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pct"/>
          </w:tcPr>
          <w:p w:rsidR="00007548" w:rsidRPr="00D34CFE" w:rsidRDefault="00E95E35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C58AE">
              <w:rPr>
                <w:rFonts w:ascii="Times New Roman" w:hAnsi="Times New Roman" w:cs="Times New Roman"/>
                <w:highlight w:val="yellow"/>
              </w:rPr>
              <w:t>GRANTEE</w:t>
            </w:r>
            <w:r w:rsidR="00007548" w:rsidRPr="00D34CFE">
              <w:rPr>
                <w:rFonts w:ascii="Times New Roman" w:hAnsi="Times New Roman" w:cs="Times New Roman"/>
              </w:rPr>
              <w:t xml:space="preserve"> </w:t>
            </w:r>
            <w:r w:rsidR="00007548">
              <w:rPr>
                <w:rFonts w:ascii="Times New Roman" w:hAnsi="Times New Roman" w:cs="Times New Roman"/>
              </w:rPr>
              <w:t xml:space="preserve">will maintain close communications with partners </w:t>
            </w:r>
            <w:r w:rsidR="00007548" w:rsidRPr="00D34CFE">
              <w:rPr>
                <w:rFonts w:ascii="Times New Roman" w:hAnsi="Times New Roman" w:cs="Times New Roman"/>
              </w:rPr>
              <w:t xml:space="preserve">in </w:t>
            </w:r>
            <w:r w:rsidRPr="007C58AE">
              <w:rPr>
                <w:rFonts w:ascii="Times New Roman" w:hAnsi="Times New Roman" w:cs="Times New Roman"/>
                <w:highlight w:val="yellow"/>
              </w:rPr>
              <w:t>COUNTRY</w:t>
            </w:r>
            <w:r w:rsidR="00007548" w:rsidRPr="00D34CFE">
              <w:rPr>
                <w:rFonts w:ascii="Times New Roman" w:hAnsi="Times New Roman" w:cs="Times New Roman"/>
              </w:rPr>
              <w:t xml:space="preserve">. If intimidation, monitoring, and harassment of civil society increases, </w:t>
            </w:r>
            <w:r w:rsidRPr="007C58AE">
              <w:rPr>
                <w:rFonts w:ascii="Times New Roman" w:hAnsi="Times New Roman" w:cs="Times New Roman"/>
                <w:highlight w:val="yellow"/>
              </w:rPr>
              <w:t>GRANTEE</w:t>
            </w:r>
            <w:r w:rsidR="00007548" w:rsidRPr="00D34CFE">
              <w:rPr>
                <w:rFonts w:ascii="Times New Roman" w:hAnsi="Times New Roman" w:cs="Times New Roman"/>
              </w:rPr>
              <w:t xml:space="preserve"> will take action on an increasing scale appropriate </w:t>
            </w:r>
            <w:r w:rsidR="00007548">
              <w:rPr>
                <w:rFonts w:ascii="Times New Roman" w:hAnsi="Times New Roman" w:cs="Times New Roman"/>
              </w:rPr>
              <w:t>with the threat. Responses may</w:t>
            </w:r>
            <w:r w:rsidR="00007548" w:rsidRPr="00D34CFE">
              <w:rPr>
                <w:rFonts w:ascii="Times New Roman" w:hAnsi="Times New Roman" w:cs="Times New Roman"/>
              </w:rPr>
              <w:t xml:space="preserve"> include: </w:t>
            </w:r>
          </w:p>
          <w:p w:rsidR="00007548" w:rsidRPr="000570DB" w:rsidRDefault="00007548" w:rsidP="00602A6F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144" w:hanging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Providing</w:t>
            </w:r>
            <w:r w:rsidRPr="00D34CFE">
              <w:rPr>
                <w:rFonts w:ascii="Times New Roman" w:hAnsi="Times New Roman" w:cs="Times New Roman"/>
              </w:rPr>
              <w:t xml:space="preserve"> physical/digital security tra</w:t>
            </w:r>
            <w:r>
              <w:rPr>
                <w:rFonts w:ascii="Times New Roman" w:hAnsi="Times New Roman" w:cs="Times New Roman"/>
              </w:rPr>
              <w:t>ining for project partners</w:t>
            </w:r>
          </w:p>
          <w:p w:rsidR="00007548" w:rsidRPr="00D34CFE" w:rsidRDefault="00007548" w:rsidP="00602A6F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144" w:hanging="158"/>
              <w:rPr>
                <w:rFonts w:ascii="Times New Roman" w:hAnsi="Times New Roman" w:cs="Times New Roman"/>
              </w:rPr>
            </w:pPr>
            <w:r w:rsidRPr="00D34CFE">
              <w:rPr>
                <w:rFonts w:ascii="Times New Roman" w:hAnsi="Times New Roman" w:cs="Times New Roman"/>
              </w:rPr>
              <w:t>Alert</w:t>
            </w:r>
            <w:r>
              <w:rPr>
                <w:rFonts w:ascii="Times New Roman" w:hAnsi="Times New Roman" w:cs="Times New Roman"/>
              </w:rPr>
              <w:t>ing</w:t>
            </w:r>
            <w:r w:rsidRPr="00D34CFE">
              <w:rPr>
                <w:rFonts w:ascii="Times New Roman" w:hAnsi="Times New Roman" w:cs="Times New Roman"/>
              </w:rPr>
              <w:t xml:space="preserve"> international representatives, including DRL, Embassies, EU, etc.</w:t>
            </w:r>
          </w:p>
          <w:p w:rsidR="00007548" w:rsidRDefault="00007548" w:rsidP="00602A6F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144" w:hanging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with think tanks to modify work plans</w:t>
            </w:r>
          </w:p>
          <w:p w:rsidR="00007548" w:rsidRPr="00D34CFE" w:rsidRDefault="00007548" w:rsidP="00602A6F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144" w:hanging="158"/>
              <w:rPr>
                <w:rFonts w:ascii="Times New Roman" w:hAnsi="Times New Roman" w:cs="Times New Roman"/>
              </w:rPr>
            </w:pPr>
            <w:r w:rsidRPr="00D34CFE">
              <w:rPr>
                <w:rFonts w:ascii="Times New Roman" w:hAnsi="Times New Roman" w:cs="Times New Roman"/>
              </w:rPr>
              <w:t>Work</w:t>
            </w:r>
            <w:r>
              <w:rPr>
                <w:rFonts w:ascii="Times New Roman" w:hAnsi="Times New Roman" w:cs="Times New Roman"/>
              </w:rPr>
              <w:t>ing with CSOs</w:t>
            </w:r>
            <w:r w:rsidRPr="00D34CFE">
              <w:rPr>
                <w:rFonts w:ascii="Times New Roman" w:hAnsi="Times New Roman" w:cs="Times New Roman"/>
              </w:rPr>
              <w:t xml:space="preserve"> to redesig</w:t>
            </w:r>
            <w:r>
              <w:rPr>
                <w:rFonts w:ascii="Times New Roman" w:hAnsi="Times New Roman" w:cs="Times New Roman"/>
              </w:rPr>
              <w:t xml:space="preserve">n advocacy to shift to tactics </w:t>
            </w:r>
            <w:r w:rsidRPr="00D34CFE">
              <w:rPr>
                <w:rFonts w:ascii="Times New Roman" w:hAnsi="Times New Roman" w:cs="Times New Roman"/>
              </w:rPr>
              <w:t xml:space="preserve">that pose </w:t>
            </w:r>
            <w:r>
              <w:rPr>
                <w:rFonts w:ascii="Times New Roman" w:hAnsi="Times New Roman" w:cs="Times New Roman"/>
              </w:rPr>
              <w:t>the least risk to participants</w:t>
            </w:r>
          </w:p>
          <w:p w:rsidR="00007548" w:rsidRPr="00D34CFE" w:rsidRDefault="00007548" w:rsidP="00602A6F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144" w:hanging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Connecting partners to </w:t>
            </w:r>
            <w:r w:rsidR="00E95E35" w:rsidRPr="007C58AE">
              <w:rPr>
                <w:rFonts w:ascii="Times New Roman" w:hAnsi="Times New Roman" w:cs="Times New Roman"/>
                <w:highlight w:val="yellow"/>
              </w:rPr>
              <w:t>GRANTEE</w:t>
            </w:r>
            <w:r w:rsidRPr="00D34CFE">
              <w:rPr>
                <w:rFonts w:ascii="Times New Roman" w:hAnsi="Times New Roman" w:cs="Times New Roman"/>
              </w:rPr>
              <w:t xml:space="preserve"> Emergency Assistance Funds</w:t>
            </w:r>
            <w:r>
              <w:rPr>
                <w:rFonts w:ascii="Times New Roman" w:hAnsi="Times New Roman" w:cs="Times New Roman"/>
              </w:rPr>
              <w:t>, which</w:t>
            </w:r>
            <w:r w:rsidRPr="00D34CFE">
              <w:rPr>
                <w:rFonts w:ascii="Times New Roman" w:hAnsi="Times New Roman" w:cs="Times New Roman"/>
              </w:rPr>
              <w:t xml:space="preserve"> provide financial, material, and security </w:t>
            </w:r>
            <w:r>
              <w:rPr>
                <w:rFonts w:ascii="Times New Roman" w:hAnsi="Times New Roman" w:cs="Times New Roman"/>
              </w:rPr>
              <w:t>assistance to individuals or organizations</w:t>
            </w:r>
            <w:r w:rsidRPr="00D34CFE">
              <w:rPr>
                <w:rFonts w:ascii="Times New Roman" w:hAnsi="Times New Roman" w:cs="Times New Roman"/>
              </w:rPr>
              <w:t xml:space="preserve"> </w:t>
            </w:r>
          </w:p>
          <w:p w:rsidR="00007548" w:rsidRPr="00E03B72" w:rsidRDefault="00007548" w:rsidP="00602A6F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144" w:hanging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Providing </w:t>
            </w:r>
            <w:r w:rsidRPr="00D34CFE">
              <w:rPr>
                <w:rFonts w:ascii="Times New Roman" w:hAnsi="Times New Roman" w:cs="Times New Roman"/>
              </w:rPr>
              <w:t xml:space="preserve">training or </w:t>
            </w:r>
            <w:r>
              <w:rPr>
                <w:rFonts w:ascii="Times New Roman" w:hAnsi="Times New Roman" w:cs="Times New Roman"/>
              </w:rPr>
              <w:t xml:space="preserve">follow-up support </w:t>
            </w:r>
            <w:r w:rsidRPr="00D34CFE">
              <w:rPr>
                <w:rFonts w:ascii="Times New Roman" w:hAnsi="Times New Roman" w:cs="Times New Roman"/>
              </w:rPr>
              <w:t>in a different location or thr</w:t>
            </w:r>
            <w:r>
              <w:rPr>
                <w:rFonts w:ascii="Times New Roman" w:hAnsi="Times New Roman" w:cs="Times New Roman"/>
              </w:rPr>
              <w:t>ough secure digital connections</w:t>
            </w:r>
          </w:p>
        </w:tc>
      </w:tr>
      <w:tr w:rsidR="00007548" w:rsidRPr="007642C8" w:rsidTr="0049608B">
        <w:tc>
          <w:tcPr>
            <w:tcW w:w="417" w:type="pct"/>
            <w:vMerge/>
          </w:tcPr>
          <w:p w:rsidR="00007548" w:rsidRPr="00C65F87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55" w:type="pct"/>
          </w:tcPr>
          <w:p w:rsidR="00007548" w:rsidRPr="00D34CFE" w:rsidRDefault="00E95E35" w:rsidP="00E95E35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C58AE">
              <w:rPr>
                <w:rFonts w:ascii="Times New Roman" w:hAnsi="Times New Roman" w:cs="Times New Roman"/>
                <w:highlight w:val="yellow"/>
              </w:rPr>
              <w:t>SUB-GRANTEE</w:t>
            </w:r>
            <w:r w:rsidR="00007548">
              <w:rPr>
                <w:rFonts w:ascii="Times New Roman" w:hAnsi="Times New Roman" w:cs="Times New Roman"/>
              </w:rPr>
              <w:t xml:space="preserve"> and </w:t>
            </w:r>
            <w:r w:rsidRPr="007C58AE">
              <w:rPr>
                <w:rFonts w:ascii="Times New Roman" w:hAnsi="Times New Roman" w:cs="Times New Roman"/>
                <w:highlight w:val="yellow"/>
              </w:rPr>
              <w:t>PARTNER</w:t>
            </w:r>
            <w:r w:rsidR="007C58AE">
              <w:rPr>
                <w:rFonts w:ascii="Times New Roman" w:hAnsi="Times New Roman" w:cs="Times New Roman"/>
              </w:rPr>
              <w:t xml:space="preserve"> </w:t>
            </w:r>
            <w:r w:rsidR="00007548">
              <w:rPr>
                <w:rFonts w:ascii="Times New Roman" w:hAnsi="Times New Roman" w:cs="Times New Roman"/>
              </w:rPr>
              <w:t>are not easily accepted by government as objective think tanks</w:t>
            </w:r>
            <w:r w:rsidR="00675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" w:type="pct"/>
          </w:tcPr>
          <w:p w:rsidR="00007548" w:rsidRPr="00D34CFE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</w:t>
            </w:r>
          </w:p>
        </w:tc>
        <w:tc>
          <w:tcPr>
            <w:tcW w:w="713" w:type="pct"/>
          </w:tcPr>
          <w:p w:rsidR="00007548" w:rsidRPr="00D34CFE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 tank policy research</w:t>
            </w:r>
            <w:r w:rsidRPr="00D34CFE">
              <w:rPr>
                <w:rFonts w:ascii="Times New Roman" w:hAnsi="Times New Roman" w:cs="Times New Roman"/>
              </w:rPr>
              <w:t xml:space="preserve"> is v</w:t>
            </w:r>
            <w:r>
              <w:rPr>
                <w:rFonts w:ascii="Times New Roman" w:hAnsi="Times New Roman" w:cs="Times New Roman"/>
              </w:rPr>
              <w:t>iewed as biased and disregarded</w:t>
            </w:r>
            <w:r w:rsidRPr="00D34CFE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y government officials</w:t>
            </w:r>
            <w:r w:rsidR="00675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pct"/>
          </w:tcPr>
          <w:p w:rsidR="00007548" w:rsidRPr="00D34CFE" w:rsidRDefault="00E95E35" w:rsidP="003F6BC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C58AE">
              <w:rPr>
                <w:rFonts w:ascii="Times New Roman" w:hAnsi="Times New Roman" w:cs="Times New Roman"/>
                <w:highlight w:val="yellow"/>
              </w:rPr>
              <w:t>GRANTEE</w:t>
            </w:r>
            <w:r w:rsidR="00007548" w:rsidRPr="00D34CFE">
              <w:rPr>
                <w:rFonts w:ascii="Times New Roman" w:hAnsi="Times New Roman" w:cs="Times New Roman"/>
              </w:rPr>
              <w:t xml:space="preserve"> will draw on its long history of supporting think tank development </w:t>
            </w:r>
            <w:r w:rsidR="00007548">
              <w:rPr>
                <w:rFonts w:ascii="Times New Roman" w:hAnsi="Times New Roman" w:cs="Times New Roman"/>
              </w:rPr>
              <w:t xml:space="preserve">and the expertise of its Research and Publications team to advise think tanks on steps they can take to establish themselves as </w:t>
            </w:r>
            <w:r w:rsidR="00007548" w:rsidRPr="00D34CFE">
              <w:rPr>
                <w:rFonts w:ascii="Times New Roman" w:hAnsi="Times New Roman" w:cs="Times New Roman"/>
              </w:rPr>
              <w:t>independent credible source</w:t>
            </w:r>
            <w:r w:rsidR="00007548">
              <w:rPr>
                <w:rFonts w:ascii="Times New Roman" w:hAnsi="Times New Roman" w:cs="Times New Roman"/>
              </w:rPr>
              <w:t xml:space="preserve">s of policy research. </w:t>
            </w:r>
            <w:r w:rsidRPr="007C58AE">
              <w:rPr>
                <w:rFonts w:ascii="Times New Roman" w:hAnsi="Times New Roman" w:cs="Times New Roman"/>
                <w:highlight w:val="yellow"/>
              </w:rPr>
              <w:t>GRANTEE</w:t>
            </w:r>
            <w:r w:rsidR="00007548">
              <w:rPr>
                <w:rFonts w:ascii="Times New Roman" w:hAnsi="Times New Roman" w:cs="Times New Roman"/>
              </w:rPr>
              <w:t xml:space="preserve"> will assist think tanks in producing high-quality research and will use its in-country connections to facilitate linkages with government officials.</w:t>
            </w:r>
            <w:r w:rsidR="00007548" w:rsidRPr="00D34C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548" w:rsidRPr="007642C8" w:rsidTr="0049608B">
        <w:tc>
          <w:tcPr>
            <w:tcW w:w="417" w:type="pct"/>
            <w:vMerge/>
          </w:tcPr>
          <w:p w:rsidR="00007548" w:rsidRPr="00C65F87" w:rsidRDefault="00007548" w:rsidP="000A326D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</w:tcPr>
          <w:p w:rsidR="00007548" w:rsidRPr="00A14333" w:rsidRDefault="00007548" w:rsidP="00E95E35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Pr="00A14333">
              <w:rPr>
                <w:rFonts w:ascii="Times New Roman" w:hAnsi="Times New Roman" w:cs="Times New Roman"/>
              </w:rPr>
              <w:t>elections result in a new set of elected officials and a possible shift in power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" w:type="pct"/>
          </w:tcPr>
          <w:p w:rsidR="00007548" w:rsidRPr="00A14333" w:rsidRDefault="00007548" w:rsidP="000A326D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713" w:type="pct"/>
          </w:tcPr>
          <w:p w:rsidR="00007548" w:rsidRPr="00A14333" w:rsidRDefault="00007548" w:rsidP="000A326D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A14333">
              <w:rPr>
                <w:rFonts w:ascii="Times New Roman" w:hAnsi="Times New Roman" w:cs="Times New Roman"/>
              </w:rPr>
              <w:t>Government poli</w:t>
            </w:r>
            <w:r>
              <w:rPr>
                <w:rFonts w:ascii="Times New Roman" w:hAnsi="Times New Roman" w:cs="Times New Roman"/>
              </w:rPr>
              <w:t>cies and representatives change</w:t>
            </w:r>
            <w:r w:rsidRPr="00A14333">
              <w:rPr>
                <w:rFonts w:ascii="Times New Roman" w:hAnsi="Times New Roman" w:cs="Times New Roman"/>
              </w:rPr>
              <w:t xml:space="preserve"> during the project period</w:t>
            </w:r>
            <w:r w:rsidR="00675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pct"/>
          </w:tcPr>
          <w:p w:rsidR="00007548" w:rsidRPr="00A14333" w:rsidRDefault="00007548" w:rsidP="000A326D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of think tank s</w:t>
            </w:r>
            <w:r w:rsidRPr="00A14333">
              <w:rPr>
                <w:rFonts w:ascii="Times New Roman" w:hAnsi="Times New Roman" w:cs="Times New Roman"/>
              </w:rPr>
              <w:t>takeholder assessment</w:t>
            </w:r>
            <w:r>
              <w:rPr>
                <w:rFonts w:ascii="Times New Roman" w:hAnsi="Times New Roman" w:cs="Times New Roman"/>
              </w:rPr>
              <w:t>s</w:t>
            </w:r>
            <w:r w:rsidRPr="00A14333">
              <w:rPr>
                <w:rFonts w:ascii="Times New Roman" w:hAnsi="Times New Roman" w:cs="Times New Roman"/>
              </w:rPr>
              <w:t xml:space="preserve"> and communication plan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A14333">
              <w:rPr>
                <w:rFonts w:ascii="Times New Roman" w:hAnsi="Times New Roman" w:cs="Times New Roman"/>
              </w:rPr>
              <w:t xml:space="preserve">will occur after election results are clear.  Plans for advocacy campaigns will be finalized after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A14333">
              <w:rPr>
                <w:rFonts w:ascii="Times New Roman" w:hAnsi="Times New Roman" w:cs="Times New Roman"/>
              </w:rPr>
              <w:t>ele</w:t>
            </w:r>
            <w:r>
              <w:rPr>
                <w:rFonts w:ascii="Times New Roman" w:hAnsi="Times New Roman" w:cs="Times New Roman"/>
              </w:rPr>
              <w:t>ctions to ensure they reflect the</w:t>
            </w:r>
            <w:r w:rsidRPr="00A14333">
              <w:rPr>
                <w:rFonts w:ascii="Times New Roman" w:hAnsi="Times New Roman" w:cs="Times New Roman"/>
              </w:rPr>
              <w:t xml:space="preserve"> new political landscape.</w:t>
            </w:r>
          </w:p>
        </w:tc>
      </w:tr>
      <w:tr w:rsidR="00007548" w:rsidRPr="007642C8" w:rsidTr="0049608B">
        <w:trPr>
          <w:trHeight w:val="197"/>
        </w:trPr>
        <w:tc>
          <w:tcPr>
            <w:tcW w:w="417" w:type="pct"/>
            <w:vMerge/>
          </w:tcPr>
          <w:p w:rsidR="00007548" w:rsidRPr="00C65F87" w:rsidRDefault="00007548" w:rsidP="000A326D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55" w:type="pct"/>
          </w:tcPr>
          <w:p w:rsidR="00007548" w:rsidRPr="00C65F87" w:rsidRDefault="00007548" w:rsidP="000A326D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C65F87">
              <w:rPr>
                <w:rFonts w:ascii="Times New Roman" w:hAnsi="Times New Roman" w:cs="Times New Roman"/>
              </w:rPr>
              <w:t xml:space="preserve">Government officials are hesitant to engage on issues </w:t>
            </w:r>
            <w:r w:rsidRPr="00D34CFE">
              <w:rPr>
                <w:rFonts w:ascii="Times New Roman" w:hAnsi="Times New Roman" w:cs="Times New Roman"/>
              </w:rPr>
              <w:t>that raise questions of accountability for marginalized populations.</w:t>
            </w:r>
          </w:p>
        </w:tc>
        <w:tc>
          <w:tcPr>
            <w:tcW w:w="311" w:type="pct"/>
          </w:tcPr>
          <w:p w:rsidR="00007548" w:rsidRPr="00C65F87" w:rsidRDefault="00007548" w:rsidP="000A326D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</w:t>
            </w:r>
          </w:p>
        </w:tc>
        <w:tc>
          <w:tcPr>
            <w:tcW w:w="713" w:type="pct"/>
          </w:tcPr>
          <w:p w:rsidR="00007548" w:rsidRPr="00D34CFE" w:rsidRDefault="00007548" w:rsidP="000A326D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 engagement with </w:t>
            </w:r>
            <w:r w:rsidRPr="00D34CFE">
              <w:rPr>
                <w:rFonts w:ascii="Times New Roman" w:hAnsi="Times New Roman" w:cs="Times New Roman"/>
              </w:rPr>
              <w:t>government officials</w:t>
            </w:r>
            <w:r>
              <w:rPr>
                <w:rFonts w:ascii="Times New Roman" w:hAnsi="Times New Roman" w:cs="Times New Roman"/>
              </w:rPr>
              <w:t xml:space="preserve"> is limited or government is </w:t>
            </w:r>
            <w:r>
              <w:rPr>
                <w:rFonts w:ascii="Times New Roman" w:hAnsi="Times New Roman" w:cs="Times New Roman"/>
              </w:rPr>
              <w:lastRenderedPageBreak/>
              <w:t>unwilling to take action</w:t>
            </w:r>
            <w:r w:rsidR="00675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pct"/>
          </w:tcPr>
          <w:p w:rsidR="00007548" w:rsidRPr="00D34CFE" w:rsidRDefault="00E95E35" w:rsidP="003F6BC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C58AE">
              <w:rPr>
                <w:rFonts w:ascii="Times New Roman" w:hAnsi="Times New Roman" w:cs="Times New Roman"/>
                <w:highlight w:val="yellow"/>
              </w:rPr>
              <w:lastRenderedPageBreak/>
              <w:t>GRANTEE</w:t>
            </w:r>
            <w:r w:rsidR="00007548">
              <w:rPr>
                <w:rFonts w:ascii="Times New Roman" w:hAnsi="Times New Roman" w:cs="Times New Roman"/>
              </w:rPr>
              <w:t xml:space="preserve"> and its partners </w:t>
            </w:r>
            <w:r w:rsidR="00007548" w:rsidRPr="00D34CFE">
              <w:rPr>
                <w:rFonts w:ascii="Times New Roman" w:hAnsi="Times New Roman" w:cs="Times New Roman"/>
              </w:rPr>
              <w:t>will leverage current relationships with government to facilitat</w:t>
            </w:r>
            <w:r w:rsidR="00007548">
              <w:rPr>
                <w:rFonts w:ascii="Times New Roman" w:hAnsi="Times New Roman" w:cs="Times New Roman"/>
              </w:rPr>
              <w:t xml:space="preserve">e direct engagement between CSOs and relevant government officials. Advocacy training for CSOs will include units on conducting government stakeholder analyses, strategies for targeted </w:t>
            </w:r>
            <w:r w:rsidR="00007548">
              <w:rPr>
                <w:rFonts w:ascii="Times New Roman" w:hAnsi="Times New Roman" w:cs="Times New Roman"/>
              </w:rPr>
              <w:lastRenderedPageBreak/>
              <w:t xml:space="preserve">communication and trust building with government, and creating broad coalitions to strengthen advocacy initiatives. </w:t>
            </w:r>
          </w:p>
        </w:tc>
      </w:tr>
      <w:tr w:rsidR="00007548" w:rsidRPr="007642C8" w:rsidTr="0049608B">
        <w:tc>
          <w:tcPr>
            <w:tcW w:w="417" w:type="pct"/>
            <w:vMerge w:val="restart"/>
          </w:tcPr>
          <w:p w:rsidR="00007548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  <w:r w:rsidRPr="00C65F87">
              <w:rPr>
                <w:rFonts w:ascii="Times New Roman" w:hAnsi="Times New Roman" w:cs="Times New Roman"/>
                <w:u w:val="single"/>
              </w:rPr>
              <w:lastRenderedPageBreak/>
              <w:t xml:space="preserve">Financial </w:t>
            </w:r>
          </w:p>
          <w:p w:rsidR="00007548" w:rsidRPr="00C65F87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</w:t>
            </w:r>
            <w:r w:rsidRPr="00C65F87">
              <w:rPr>
                <w:rFonts w:ascii="Times New Roman" w:hAnsi="Times New Roman" w:cs="Times New Roman"/>
                <w:u w:val="single"/>
              </w:rPr>
              <w:t>isk</w:t>
            </w:r>
            <w:r>
              <w:rPr>
                <w:rFonts w:ascii="Times New Roman" w:hAnsi="Times New Roman" w:cs="Times New Roman"/>
                <w:u w:val="single"/>
              </w:rPr>
              <w:t>s</w:t>
            </w:r>
          </w:p>
          <w:p w:rsidR="00007548" w:rsidRPr="00D34CFE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</w:tcPr>
          <w:p w:rsidR="00007548" w:rsidRPr="00D34CFE" w:rsidRDefault="00E95E35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C58AE">
              <w:rPr>
                <w:rFonts w:ascii="Times New Roman" w:eastAsia="Calibri" w:hAnsi="Times New Roman" w:cs="Times New Roman"/>
                <w:bCs/>
                <w:highlight w:val="yellow"/>
              </w:rPr>
              <w:t>GRANTEE</w:t>
            </w:r>
            <w:r w:rsidR="00007548">
              <w:rPr>
                <w:rFonts w:ascii="Times New Roman" w:eastAsia="Calibri" w:hAnsi="Times New Roman" w:cs="Times New Roman"/>
                <w:bCs/>
              </w:rPr>
              <w:t xml:space="preserve"> is u</w:t>
            </w:r>
            <w:r w:rsidR="00007548" w:rsidRPr="00D34CFE">
              <w:rPr>
                <w:rFonts w:ascii="Times New Roman" w:eastAsia="Calibri" w:hAnsi="Times New Roman" w:cs="Times New Roman"/>
                <w:bCs/>
              </w:rPr>
              <w:t>nable to transfer funds to local partners (at all or in a timely manner)</w:t>
            </w:r>
            <w:r w:rsidR="00007548">
              <w:rPr>
                <w:rFonts w:ascii="Times New Roman" w:eastAsia="Calibri" w:hAnsi="Times New Roman" w:cs="Times New Roman"/>
                <w:bCs/>
              </w:rPr>
              <w:t>.</w:t>
            </w:r>
            <w:r w:rsidR="00007548" w:rsidRPr="00D34CFE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311" w:type="pct"/>
          </w:tcPr>
          <w:p w:rsidR="00007548" w:rsidRPr="00D34CFE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</w:t>
            </w:r>
          </w:p>
        </w:tc>
        <w:tc>
          <w:tcPr>
            <w:tcW w:w="713" w:type="pct"/>
          </w:tcPr>
          <w:p w:rsidR="00007548" w:rsidRPr="00D34CFE" w:rsidRDefault="00007548" w:rsidP="00AA09BA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delays in the</w:t>
            </w:r>
            <w:r w:rsidRPr="00D34CFE">
              <w:rPr>
                <w:rFonts w:ascii="Times New Roman" w:hAnsi="Times New Roman" w:cs="Times New Roman"/>
              </w:rPr>
              <w:t xml:space="preserve"> impl</w:t>
            </w:r>
            <w:r>
              <w:rPr>
                <w:rFonts w:ascii="Times New Roman" w:hAnsi="Times New Roman" w:cs="Times New Roman"/>
              </w:rPr>
              <w:t>ementation of project activities</w:t>
            </w:r>
          </w:p>
        </w:tc>
        <w:tc>
          <w:tcPr>
            <w:tcW w:w="2504" w:type="pct"/>
          </w:tcPr>
          <w:p w:rsidR="00007548" w:rsidRPr="00D34CFE" w:rsidRDefault="00E95E35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C58AE">
              <w:rPr>
                <w:rFonts w:ascii="Times New Roman" w:hAnsi="Times New Roman" w:cs="Times New Roman"/>
                <w:highlight w:val="yellow"/>
              </w:rPr>
              <w:t>GRANTEE</w:t>
            </w:r>
            <w:r w:rsidR="00007548" w:rsidRPr="00D34CFE">
              <w:rPr>
                <w:rFonts w:ascii="Times New Roman" w:hAnsi="Times New Roman" w:cs="Times New Roman"/>
              </w:rPr>
              <w:t xml:space="preserve"> will identify alternate intermediary banks or intermediary payment methods as necessary to ensure project funds reach local partners.</w:t>
            </w:r>
            <w:r w:rsidR="00007548">
              <w:rPr>
                <w:rFonts w:ascii="Times New Roman" w:hAnsi="Times New Roman" w:cs="Times New Roman"/>
              </w:rPr>
              <w:t xml:space="preserve"> If necessary, funds can be received and distributed by </w:t>
            </w:r>
            <w:r w:rsidRPr="007C58AE">
              <w:rPr>
                <w:rFonts w:ascii="Times New Roman" w:hAnsi="Times New Roman" w:cs="Times New Roman"/>
                <w:highlight w:val="yellow"/>
              </w:rPr>
              <w:t>GRANTEE</w:t>
            </w:r>
            <w:r w:rsidR="00007548">
              <w:rPr>
                <w:rFonts w:ascii="Times New Roman" w:hAnsi="Times New Roman" w:cs="Times New Roman"/>
              </w:rPr>
              <w:t xml:space="preserve"> in-country staff or current Burmese partners that can receive international wire transfers.</w:t>
            </w:r>
          </w:p>
        </w:tc>
      </w:tr>
      <w:tr w:rsidR="00007548" w:rsidRPr="007642C8" w:rsidTr="0049608B">
        <w:tc>
          <w:tcPr>
            <w:tcW w:w="417" w:type="pct"/>
            <w:vMerge/>
            <w:shd w:val="clear" w:color="auto" w:fill="auto"/>
          </w:tcPr>
          <w:p w:rsidR="00007548" w:rsidRPr="00C65F87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  <w:shd w:val="clear" w:color="auto" w:fill="auto"/>
          </w:tcPr>
          <w:p w:rsidR="00007548" w:rsidRPr="00D34CFE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Advocacy CSOs have low capacity to manage small grants</w:t>
            </w:r>
          </w:p>
        </w:tc>
        <w:tc>
          <w:tcPr>
            <w:tcW w:w="311" w:type="pct"/>
            <w:shd w:val="clear" w:color="auto" w:fill="auto"/>
          </w:tcPr>
          <w:p w:rsidR="00007548" w:rsidRPr="00C65F87" w:rsidRDefault="00007548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713" w:type="pct"/>
            <w:shd w:val="clear" w:color="auto" w:fill="auto"/>
          </w:tcPr>
          <w:p w:rsidR="00007548" w:rsidRPr="00D34CFE" w:rsidRDefault="00007548" w:rsidP="00F069E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delays in the implementation of advocacy campaigns or reporting</w:t>
            </w:r>
          </w:p>
        </w:tc>
        <w:tc>
          <w:tcPr>
            <w:tcW w:w="2504" w:type="pct"/>
            <w:shd w:val="clear" w:color="auto" w:fill="auto"/>
          </w:tcPr>
          <w:p w:rsidR="00007548" w:rsidRPr="00D34CFE" w:rsidRDefault="00E95E35" w:rsidP="00A14333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7C58AE">
              <w:rPr>
                <w:rFonts w:ascii="Times New Roman" w:hAnsi="Times New Roman" w:cs="Times New Roman"/>
                <w:highlight w:val="yellow"/>
              </w:rPr>
              <w:t>GRANTEE</w:t>
            </w:r>
            <w:r w:rsidR="00007548" w:rsidRPr="00D34CFE">
              <w:rPr>
                <w:rFonts w:ascii="Times New Roman" w:hAnsi="Times New Roman" w:cs="Times New Roman"/>
              </w:rPr>
              <w:t xml:space="preserve"> will vet capacity of local partners before awarding financial support.  </w:t>
            </w:r>
            <w:r w:rsidRPr="007C58AE">
              <w:rPr>
                <w:rFonts w:ascii="Times New Roman" w:hAnsi="Times New Roman" w:cs="Times New Roman"/>
                <w:highlight w:val="yellow"/>
              </w:rPr>
              <w:t>GRANTEE</w:t>
            </w:r>
            <w:r w:rsidR="00007548" w:rsidRPr="00D34CFE">
              <w:rPr>
                <w:rFonts w:ascii="Times New Roman" w:hAnsi="Times New Roman" w:cs="Times New Roman"/>
              </w:rPr>
              <w:t xml:space="preserve"> will also work closely with local partners to provide </w:t>
            </w:r>
            <w:r w:rsidR="00007548">
              <w:rPr>
                <w:rFonts w:ascii="Times New Roman" w:hAnsi="Times New Roman" w:cs="Times New Roman"/>
              </w:rPr>
              <w:t>financial training and</w:t>
            </w:r>
            <w:r w:rsidR="00007548" w:rsidRPr="00D34CFE">
              <w:rPr>
                <w:rFonts w:ascii="Times New Roman" w:hAnsi="Times New Roman" w:cs="Times New Roman"/>
              </w:rPr>
              <w:t xml:space="preserve"> support.</w:t>
            </w:r>
          </w:p>
        </w:tc>
      </w:tr>
    </w:tbl>
    <w:p w:rsidR="0038176D" w:rsidRPr="007642C8" w:rsidRDefault="0038176D">
      <w:pPr>
        <w:rPr>
          <w:rFonts w:ascii="Times New Roman" w:hAnsi="Times New Roman" w:cs="Times New Roman"/>
        </w:rPr>
      </w:pPr>
    </w:p>
    <w:sectPr w:rsidR="0038176D" w:rsidRPr="007642C8" w:rsidSect="0067522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20" w:rsidRDefault="00675220" w:rsidP="00675220">
      <w:pPr>
        <w:spacing w:after="0" w:line="240" w:lineRule="auto"/>
      </w:pPr>
      <w:r>
        <w:separator/>
      </w:r>
    </w:p>
  </w:endnote>
  <w:endnote w:type="continuationSeparator" w:id="0">
    <w:p w:rsidR="00675220" w:rsidRDefault="00675220" w:rsidP="0067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20" w:rsidRPr="00E95E35" w:rsidRDefault="00E95E35" w:rsidP="00E95E35">
    <w:pPr>
      <w:pStyle w:val="Footer"/>
      <w:jc w:val="center"/>
      <w:rPr>
        <w:sz w:val="40"/>
        <w:szCs w:val="40"/>
      </w:rPr>
    </w:pPr>
    <w:r w:rsidRPr="00E95E35">
      <w:rPr>
        <w:sz w:val="40"/>
        <w:szCs w:val="40"/>
      </w:rPr>
      <w:t>SAMPLE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20" w:rsidRDefault="00675220" w:rsidP="00675220">
      <w:pPr>
        <w:spacing w:after="0" w:line="240" w:lineRule="auto"/>
      </w:pPr>
      <w:r>
        <w:separator/>
      </w:r>
    </w:p>
  </w:footnote>
  <w:footnote w:type="continuationSeparator" w:id="0">
    <w:p w:rsidR="00675220" w:rsidRDefault="00675220" w:rsidP="0067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35" w:rsidRPr="00E95E35" w:rsidRDefault="00E95E35" w:rsidP="00E95E35">
    <w:pPr>
      <w:pStyle w:val="Header"/>
      <w:jc w:val="center"/>
      <w:rPr>
        <w:sz w:val="40"/>
        <w:szCs w:val="40"/>
      </w:rPr>
    </w:pPr>
    <w:r w:rsidRPr="00E95E35">
      <w:rPr>
        <w:sz w:val="40"/>
        <w:szCs w:val="40"/>
      </w:rPr>
      <w:t>SAMPLE</w:t>
    </w:r>
    <w:r w:rsidR="005060CC">
      <w:rPr>
        <w:sz w:val="40"/>
        <w:szCs w:val="40"/>
      </w:rPr>
      <w:t xml:space="preserve">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800"/>
    <w:multiLevelType w:val="hybridMultilevel"/>
    <w:tmpl w:val="06F098B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6147D8"/>
    <w:multiLevelType w:val="hybridMultilevel"/>
    <w:tmpl w:val="D5885A8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237F7963"/>
    <w:multiLevelType w:val="hybridMultilevel"/>
    <w:tmpl w:val="4224DC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96659C7"/>
    <w:multiLevelType w:val="hybridMultilevel"/>
    <w:tmpl w:val="FDBA78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2051DB8"/>
    <w:multiLevelType w:val="hybridMultilevel"/>
    <w:tmpl w:val="16AC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3690A"/>
    <w:multiLevelType w:val="hybridMultilevel"/>
    <w:tmpl w:val="EE3AA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75"/>
    <w:rsid w:val="00004F30"/>
    <w:rsid w:val="00007548"/>
    <w:rsid w:val="000570DB"/>
    <w:rsid w:val="00142FAE"/>
    <w:rsid w:val="00182ECE"/>
    <w:rsid w:val="00212612"/>
    <w:rsid w:val="00224E04"/>
    <w:rsid w:val="00256016"/>
    <w:rsid w:val="002A5FCE"/>
    <w:rsid w:val="002C7F8C"/>
    <w:rsid w:val="002F3EA9"/>
    <w:rsid w:val="00321FBE"/>
    <w:rsid w:val="00324990"/>
    <w:rsid w:val="00345D68"/>
    <w:rsid w:val="0038176D"/>
    <w:rsid w:val="00395736"/>
    <w:rsid w:val="003F6BC0"/>
    <w:rsid w:val="00417B61"/>
    <w:rsid w:val="004443D7"/>
    <w:rsid w:val="004455DC"/>
    <w:rsid w:val="00481A16"/>
    <w:rsid w:val="0049608B"/>
    <w:rsid w:val="005060CC"/>
    <w:rsid w:val="005226AD"/>
    <w:rsid w:val="00530B42"/>
    <w:rsid w:val="0056472B"/>
    <w:rsid w:val="005D1FB9"/>
    <w:rsid w:val="005D70F7"/>
    <w:rsid w:val="00602A6F"/>
    <w:rsid w:val="006310B0"/>
    <w:rsid w:val="00645ABD"/>
    <w:rsid w:val="00675220"/>
    <w:rsid w:val="006E6AA9"/>
    <w:rsid w:val="006F0C2D"/>
    <w:rsid w:val="00715B06"/>
    <w:rsid w:val="00747A77"/>
    <w:rsid w:val="007642C8"/>
    <w:rsid w:val="007A442E"/>
    <w:rsid w:val="007C4614"/>
    <w:rsid w:val="007C58AE"/>
    <w:rsid w:val="007E7B07"/>
    <w:rsid w:val="008A153D"/>
    <w:rsid w:val="008F4D96"/>
    <w:rsid w:val="0091693B"/>
    <w:rsid w:val="009276E0"/>
    <w:rsid w:val="00927EF6"/>
    <w:rsid w:val="0097436A"/>
    <w:rsid w:val="009F37F6"/>
    <w:rsid w:val="00A14333"/>
    <w:rsid w:val="00A33D74"/>
    <w:rsid w:val="00A53820"/>
    <w:rsid w:val="00AA09BA"/>
    <w:rsid w:val="00AB187F"/>
    <w:rsid w:val="00B76454"/>
    <w:rsid w:val="00B82431"/>
    <w:rsid w:val="00BA3DBC"/>
    <w:rsid w:val="00BE2658"/>
    <w:rsid w:val="00C03CB2"/>
    <w:rsid w:val="00C142FA"/>
    <w:rsid w:val="00C4505F"/>
    <w:rsid w:val="00C65F87"/>
    <w:rsid w:val="00C67B44"/>
    <w:rsid w:val="00D34CFE"/>
    <w:rsid w:val="00D8067A"/>
    <w:rsid w:val="00D8274E"/>
    <w:rsid w:val="00DA23F8"/>
    <w:rsid w:val="00DB204F"/>
    <w:rsid w:val="00DD1475"/>
    <w:rsid w:val="00E03B72"/>
    <w:rsid w:val="00E95E35"/>
    <w:rsid w:val="00ED7876"/>
    <w:rsid w:val="00EF7378"/>
    <w:rsid w:val="00F069E8"/>
    <w:rsid w:val="00F1537C"/>
    <w:rsid w:val="00F16E55"/>
    <w:rsid w:val="00F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61FF1-7191-4D94-9643-E1DB267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20"/>
  </w:style>
  <w:style w:type="paragraph" w:styleId="Footer">
    <w:name w:val="footer"/>
    <w:basedOn w:val="Normal"/>
    <w:link w:val="FooterChar"/>
    <w:uiPriority w:val="99"/>
    <w:unhideWhenUsed/>
    <w:rsid w:val="0067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20"/>
  </w:style>
  <w:style w:type="paragraph" w:styleId="EndnoteText">
    <w:name w:val="endnote text"/>
    <w:basedOn w:val="Normal"/>
    <w:link w:val="EndnoteTextChar"/>
    <w:uiPriority w:val="99"/>
    <w:semiHidden/>
    <w:unhideWhenUsed/>
    <w:rsid w:val="007C58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8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FreedomHouse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Galacia</dc:creator>
  <cp:lastModifiedBy>Edward Moses</cp:lastModifiedBy>
  <cp:revision>2</cp:revision>
  <cp:lastPrinted>2015-08-18T14:43:00Z</cp:lastPrinted>
  <dcterms:created xsi:type="dcterms:W3CDTF">2020-09-12T20:53:00Z</dcterms:created>
  <dcterms:modified xsi:type="dcterms:W3CDTF">2020-09-12T20:53:00Z</dcterms:modified>
</cp:coreProperties>
</file>